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E56" w:rsidRDefault="002709E9" w:rsidP="002709E9">
      <w:pPr>
        <w:jc w:val="center"/>
        <w:rPr>
          <w:rFonts w:ascii="David" w:hAnsi="David" w:cs="David"/>
          <w:b/>
          <w:bCs/>
          <w:sz w:val="26"/>
          <w:szCs w:val="26"/>
          <w:u w:val="single"/>
          <w:rtl/>
        </w:rPr>
      </w:pPr>
      <w:bookmarkStart w:id="0" w:name="_GoBack"/>
      <w:bookmarkEnd w:id="0"/>
      <w:r w:rsidRPr="0026023A">
        <w:rPr>
          <w:rFonts w:ascii="David" w:hAnsi="David" w:cs="David"/>
          <w:b/>
          <w:bCs/>
          <w:sz w:val="26"/>
          <w:szCs w:val="26"/>
          <w:u w:val="single"/>
          <w:rtl/>
        </w:rPr>
        <w:t xml:space="preserve">תקציר החלטת בית המשפט בפש"ר 4217/07 </w:t>
      </w:r>
      <w:r w:rsidR="0026023A" w:rsidRPr="0026023A">
        <w:rPr>
          <w:rFonts w:ascii="David" w:hAnsi="David" w:cs="David"/>
          <w:b/>
          <w:bCs/>
          <w:sz w:val="26"/>
          <w:szCs w:val="26"/>
          <w:u w:val="single"/>
          <w:rtl/>
        </w:rPr>
        <w:t xml:space="preserve">בנק לאומי לישראל נ' בועז יונה </w:t>
      </w:r>
    </w:p>
    <w:p w:rsidR="009E3B5B" w:rsidRDefault="002709E9" w:rsidP="002709E9">
      <w:pPr>
        <w:jc w:val="center"/>
        <w:rPr>
          <w:rFonts w:ascii="David" w:hAnsi="David" w:cs="David"/>
          <w:b/>
          <w:bCs/>
          <w:sz w:val="26"/>
          <w:szCs w:val="26"/>
          <w:u w:val="single"/>
          <w:rtl/>
        </w:rPr>
      </w:pPr>
      <w:r w:rsidRPr="0026023A">
        <w:rPr>
          <w:rFonts w:ascii="David" w:hAnsi="David" w:cs="David"/>
          <w:b/>
          <w:bCs/>
          <w:sz w:val="26"/>
          <w:szCs w:val="26"/>
          <w:u w:val="single"/>
          <w:rtl/>
        </w:rPr>
        <w:t>בבקשת החייב, ב</w:t>
      </w:r>
      <w:r w:rsidR="0026023A" w:rsidRPr="0026023A">
        <w:rPr>
          <w:rFonts w:ascii="David" w:hAnsi="David" w:cs="David"/>
          <w:b/>
          <w:bCs/>
          <w:sz w:val="26"/>
          <w:szCs w:val="26"/>
          <w:u w:val="single"/>
          <w:rtl/>
        </w:rPr>
        <w:t>ו</w:t>
      </w:r>
      <w:r w:rsidRPr="0026023A">
        <w:rPr>
          <w:rFonts w:ascii="David" w:hAnsi="David" w:cs="David"/>
          <w:b/>
          <w:bCs/>
          <w:sz w:val="26"/>
          <w:szCs w:val="26"/>
          <w:u w:val="single"/>
          <w:rtl/>
        </w:rPr>
        <w:t>עז יונה</w:t>
      </w:r>
      <w:r w:rsidR="0026023A" w:rsidRPr="0026023A">
        <w:rPr>
          <w:rFonts w:ascii="David" w:hAnsi="David" w:cs="David"/>
          <w:b/>
          <w:bCs/>
          <w:sz w:val="26"/>
          <w:szCs w:val="26"/>
          <w:u w:val="single"/>
          <w:rtl/>
        </w:rPr>
        <w:t xml:space="preserve"> למתן הפטר על חובותיו</w:t>
      </w:r>
    </w:p>
    <w:p w:rsidR="00D57E56" w:rsidRPr="0026023A" w:rsidRDefault="00D57E56" w:rsidP="002709E9">
      <w:pPr>
        <w:jc w:val="center"/>
        <w:rPr>
          <w:rFonts w:ascii="David" w:hAnsi="David" w:cs="David"/>
          <w:b/>
          <w:bCs/>
          <w:sz w:val="26"/>
          <w:szCs w:val="26"/>
          <w:u w:val="single"/>
          <w:rtl/>
        </w:rPr>
      </w:pPr>
    </w:p>
    <w:p w:rsidR="0026023A" w:rsidRPr="0026023A" w:rsidRDefault="0026023A" w:rsidP="00D57E56">
      <w:pPr>
        <w:pStyle w:val="a7"/>
        <w:bidi/>
        <w:spacing w:after="360" w:line="360" w:lineRule="auto"/>
        <w:ind w:left="509"/>
        <w:jc w:val="both"/>
        <w:rPr>
          <w:rFonts w:ascii="David" w:hAnsi="David" w:cs="David"/>
          <w:sz w:val="26"/>
          <w:szCs w:val="26"/>
          <w:rtl/>
        </w:rPr>
      </w:pPr>
      <w:r w:rsidRPr="0026023A">
        <w:rPr>
          <w:rFonts w:ascii="David" w:hAnsi="David" w:cs="David" w:hint="cs"/>
          <w:sz w:val="26"/>
          <w:szCs w:val="26"/>
          <w:rtl/>
          <w:lang w:bidi="he-IL"/>
        </w:rPr>
        <w:t>החייב בתיק</w:t>
      </w:r>
      <w:r w:rsidRPr="0026023A">
        <w:rPr>
          <w:rFonts w:ascii="David" w:hAnsi="David" w:cs="David" w:hint="cs"/>
          <w:sz w:val="26"/>
          <w:szCs w:val="26"/>
          <w:rtl/>
        </w:rPr>
        <w:t xml:space="preserve">, </w:t>
      </w:r>
      <w:r w:rsidRPr="0026023A">
        <w:rPr>
          <w:rFonts w:ascii="David" w:hAnsi="David" w:cs="David" w:hint="cs"/>
          <w:sz w:val="26"/>
          <w:szCs w:val="26"/>
          <w:rtl/>
          <w:lang w:bidi="he-IL"/>
        </w:rPr>
        <w:t>מר בועז יונה</w:t>
      </w:r>
      <w:r w:rsidRPr="0026023A">
        <w:rPr>
          <w:rFonts w:ascii="David" w:hAnsi="David" w:cs="David" w:hint="cs"/>
          <w:sz w:val="26"/>
          <w:szCs w:val="26"/>
          <w:rtl/>
        </w:rPr>
        <w:t xml:space="preserve">, </w:t>
      </w:r>
      <w:r w:rsidRPr="0026023A">
        <w:rPr>
          <w:rFonts w:ascii="David" w:hAnsi="David" w:cs="David" w:hint="cs"/>
          <w:sz w:val="26"/>
          <w:szCs w:val="26"/>
          <w:rtl/>
          <w:lang w:bidi="he-IL"/>
        </w:rPr>
        <w:t xml:space="preserve">הגיש בשנת </w:t>
      </w:r>
      <w:r w:rsidRPr="0026023A">
        <w:rPr>
          <w:rFonts w:ascii="David" w:hAnsi="David" w:cs="David" w:hint="cs"/>
          <w:sz w:val="26"/>
          <w:szCs w:val="26"/>
          <w:rtl/>
        </w:rPr>
        <w:t xml:space="preserve">2017 </w:t>
      </w:r>
      <w:r w:rsidRPr="0026023A">
        <w:rPr>
          <w:rFonts w:ascii="David" w:hAnsi="David" w:cs="David" w:hint="cs"/>
          <w:sz w:val="26"/>
          <w:szCs w:val="26"/>
          <w:rtl/>
          <w:lang w:bidi="he-IL"/>
        </w:rPr>
        <w:t xml:space="preserve">בקשה למתן הפטר על חובותיו במסגרת הליך פשיטת הרגל בו הוא נתון מאז שנת </w:t>
      </w:r>
      <w:r w:rsidRPr="0026023A">
        <w:rPr>
          <w:rFonts w:ascii="David" w:hAnsi="David" w:cs="David" w:hint="cs"/>
          <w:sz w:val="26"/>
          <w:szCs w:val="26"/>
          <w:rtl/>
        </w:rPr>
        <w:t xml:space="preserve">2007. </w:t>
      </w:r>
    </w:p>
    <w:p w:rsidR="0026023A" w:rsidRDefault="0026023A" w:rsidP="00D57E56">
      <w:pPr>
        <w:pStyle w:val="a7"/>
        <w:bidi/>
        <w:spacing w:after="360" w:line="360" w:lineRule="auto"/>
        <w:ind w:left="509"/>
        <w:jc w:val="both"/>
        <w:rPr>
          <w:rFonts w:ascii="David" w:hAnsi="David" w:cs="David"/>
          <w:sz w:val="26"/>
          <w:szCs w:val="26"/>
        </w:rPr>
      </w:pPr>
      <w:r w:rsidRPr="0026023A">
        <w:rPr>
          <w:rFonts w:ascii="David" w:hAnsi="David" w:cs="David" w:hint="cs"/>
          <w:sz w:val="26"/>
          <w:szCs w:val="26"/>
          <w:rtl/>
          <w:lang w:bidi="he-IL"/>
        </w:rPr>
        <w:t>המדובר במי שניהל את קבוצת חברות חפציבה ואשר הורשע</w:t>
      </w:r>
      <w:r w:rsidRPr="0026023A">
        <w:rPr>
          <w:rFonts w:ascii="David" w:hAnsi="David" w:cs="David" w:hint="cs"/>
          <w:sz w:val="26"/>
          <w:szCs w:val="26"/>
          <w:rtl/>
        </w:rPr>
        <w:t xml:space="preserve">, </w:t>
      </w:r>
      <w:r w:rsidRPr="0026023A">
        <w:rPr>
          <w:rFonts w:ascii="David" w:hAnsi="David" w:cs="David" w:hint="cs"/>
          <w:sz w:val="26"/>
          <w:szCs w:val="26"/>
          <w:rtl/>
          <w:lang w:bidi="he-IL"/>
        </w:rPr>
        <w:t xml:space="preserve">במסגרת הסדר טיעון ונגזרו עליו </w:t>
      </w:r>
      <w:r w:rsidRPr="0026023A">
        <w:rPr>
          <w:rFonts w:ascii="David" w:hAnsi="David" w:cs="David" w:hint="cs"/>
          <w:sz w:val="26"/>
          <w:szCs w:val="26"/>
          <w:rtl/>
        </w:rPr>
        <w:t xml:space="preserve">7 </w:t>
      </w:r>
      <w:r w:rsidRPr="0026023A">
        <w:rPr>
          <w:rFonts w:ascii="David" w:hAnsi="David" w:cs="David" w:hint="cs"/>
          <w:sz w:val="26"/>
          <w:szCs w:val="26"/>
          <w:rtl/>
          <w:lang w:bidi="he-IL"/>
        </w:rPr>
        <w:t>שנות מאסר ותשלום פיצוי ע</w:t>
      </w:r>
      <w:r w:rsidRPr="0026023A">
        <w:rPr>
          <w:rFonts w:ascii="David" w:hAnsi="David" w:cs="David" w:hint="cs"/>
          <w:sz w:val="26"/>
          <w:szCs w:val="26"/>
          <w:rtl/>
        </w:rPr>
        <w:t>"</w:t>
      </w:r>
      <w:r w:rsidRPr="0026023A">
        <w:rPr>
          <w:rFonts w:ascii="David" w:hAnsi="David" w:cs="David" w:hint="cs"/>
          <w:sz w:val="26"/>
          <w:szCs w:val="26"/>
          <w:rtl/>
          <w:lang w:bidi="he-IL"/>
        </w:rPr>
        <w:t xml:space="preserve">ס </w:t>
      </w:r>
      <w:r w:rsidRPr="0026023A">
        <w:rPr>
          <w:rFonts w:ascii="David" w:hAnsi="David" w:cs="David" w:hint="cs"/>
          <w:sz w:val="26"/>
          <w:szCs w:val="26"/>
          <w:rtl/>
        </w:rPr>
        <w:t xml:space="preserve">4 </w:t>
      </w:r>
      <w:r w:rsidRPr="0026023A">
        <w:rPr>
          <w:rFonts w:ascii="David" w:hAnsi="David" w:cs="David" w:hint="cs"/>
          <w:sz w:val="26"/>
          <w:szCs w:val="26"/>
          <w:rtl/>
          <w:lang w:bidi="he-IL"/>
        </w:rPr>
        <w:t>מיליון שקלים</w:t>
      </w:r>
      <w:r w:rsidRPr="0026023A">
        <w:rPr>
          <w:rFonts w:ascii="David" w:hAnsi="David" w:cs="David" w:hint="cs"/>
          <w:b/>
          <w:bCs/>
          <w:sz w:val="26"/>
          <w:szCs w:val="26"/>
          <w:rtl/>
        </w:rPr>
        <w:t xml:space="preserve"> </w:t>
      </w:r>
      <w:r w:rsidRPr="0026023A">
        <w:rPr>
          <w:rFonts w:ascii="David" w:hAnsi="David" w:cs="David"/>
          <w:sz w:val="26"/>
          <w:szCs w:val="26"/>
          <w:rtl/>
        </w:rPr>
        <w:t>(</w:t>
      </w:r>
      <w:r w:rsidRPr="0026023A">
        <w:rPr>
          <w:rFonts w:ascii="David" w:hAnsi="David" w:cs="David"/>
          <w:sz w:val="26"/>
          <w:szCs w:val="26"/>
          <w:rtl/>
          <w:lang w:bidi="he-IL"/>
        </w:rPr>
        <w:t>ראו</w:t>
      </w:r>
      <w:r w:rsidRPr="0026023A">
        <w:rPr>
          <w:rFonts w:ascii="David" w:hAnsi="David" w:cs="David"/>
          <w:sz w:val="26"/>
          <w:szCs w:val="26"/>
          <w:rtl/>
        </w:rPr>
        <w:t>:</w:t>
      </w:r>
      <w:r w:rsidRPr="0026023A">
        <w:rPr>
          <w:rFonts w:ascii="David" w:hAnsi="David" w:cs="David"/>
          <w:sz w:val="26"/>
          <w:szCs w:val="26"/>
          <w:rtl/>
          <w:lang w:bidi="he-IL"/>
        </w:rPr>
        <w:t xml:space="preserve"> ת</w:t>
      </w:r>
      <w:r w:rsidRPr="0026023A">
        <w:rPr>
          <w:rFonts w:ascii="David" w:hAnsi="David" w:cs="David"/>
          <w:sz w:val="26"/>
          <w:szCs w:val="26"/>
          <w:rtl/>
        </w:rPr>
        <w:t>"</w:t>
      </w:r>
      <w:r w:rsidRPr="0026023A">
        <w:rPr>
          <w:rFonts w:ascii="David" w:hAnsi="David" w:cs="David"/>
          <w:sz w:val="26"/>
          <w:szCs w:val="26"/>
          <w:rtl/>
          <w:lang w:bidi="he-IL"/>
        </w:rPr>
        <w:t xml:space="preserve">פ </w:t>
      </w:r>
      <w:r w:rsidRPr="0026023A">
        <w:rPr>
          <w:rFonts w:ascii="David" w:hAnsi="David" w:cs="David" w:hint="cs"/>
          <w:sz w:val="26"/>
          <w:szCs w:val="26"/>
          <w:rtl/>
          <w:lang w:bidi="he-IL"/>
        </w:rPr>
        <w:t>209/08</w:t>
      </w:r>
      <w:r w:rsidRPr="0026023A">
        <w:rPr>
          <w:rFonts w:ascii="David" w:hAnsi="David" w:cs="David"/>
          <w:sz w:val="26"/>
          <w:szCs w:val="26"/>
          <w:rtl/>
        </w:rPr>
        <w:t xml:space="preserve"> </w:t>
      </w:r>
      <w:r w:rsidRPr="0026023A">
        <w:rPr>
          <w:rFonts w:ascii="David" w:hAnsi="David" w:cs="David"/>
          <w:b/>
          <w:bCs/>
          <w:sz w:val="26"/>
          <w:szCs w:val="26"/>
          <w:rtl/>
          <w:lang w:bidi="he-IL"/>
        </w:rPr>
        <w:t>מדינת ישראל נ</w:t>
      </w:r>
      <w:r w:rsidRPr="0026023A">
        <w:rPr>
          <w:rFonts w:ascii="David" w:hAnsi="David" w:cs="David"/>
          <w:b/>
          <w:bCs/>
          <w:sz w:val="26"/>
          <w:szCs w:val="26"/>
          <w:rtl/>
        </w:rPr>
        <w:t>'</w:t>
      </w:r>
      <w:r w:rsidRPr="0026023A">
        <w:rPr>
          <w:rFonts w:ascii="David" w:hAnsi="David" w:cs="David"/>
          <w:sz w:val="26"/>
          <w:szCs w:val="26"/>
          <w:rtl/>
        </w:rPr>
        <w:t xml:space="preserve"> </w:t>
      </w:r>
      <w:r w:rsidRPr="0026023A">
        <w:rPr>
          <w:rFonts w:ascii="David" w:hAnsi="David" w:cs="David"/>
          <w:bCs/>
          <w:sz w:val="26"/>
          <w:szCs w:val="26"/>
          <w:rtl/>
          <w:lang w:bidi="he-IL"/>
        </w:rPr>
        <w:t>יונה</w:t>
      </w:r>
      <w:r w:rsidRPr="0026023A">
        <w:rPr>
          <w:rFonts w:ascii="David" w:hAnsi="David" w:cs="David"/>
          <w:sz w:val="26"/>
          <w:szCs w:val="26"/>
          <w:rtl/>
        </w:rPr>
        <w:t xml:space="preserve"> (19.11.08) </w:t>
      </w:r>
      <w:r w:rsidRPr="0026023A">
        <w:rPr>
          <w:rFonts w:ascii="David" w:hAnsi="David" w:cs="David"/>
          <w:sz w:val="26"/>
          <w:szCs w:val="26"/>
          <w:rtl/>
          <w:lang w:bidi="he-IL"/>
        </w:rPr>
        <w:t xml:space="preserve">והערעור שהגיש החייב </w:t>
      </w:r>
      <w:r w:rsidRPr="0026023A">
        <w:rPr>
          <w:rFonts w:ascii="David" w:hAnsi="David" w:cs="David"/>
          <w:sz w:val="26"/>
          <w:szCs w:val="26"/>
          <w:rtl/>
        </w:rPr>
        <w:t>(</w:t>
      </w:r>
      <w:r w:rsidRPr="0026023A">
        <w:rPr>
          <w:rFonts w:ascii="David" w:hAnsi="David" w:cs="David"/>
          <w:sz w:val="26"/>
          <w:szCs w:val="26"/>
          <w:rtl/>
          <w:lang w:bidi="he-IL"/>
        </w:rPr>
        <w:t>בקשר לפיצוי שנגזר עליו לשלם</w:t>
      </w:r>
      <w:r w:rsidRPr="0026023A">
        <w:rPr>
          <w:rFonts w:ascii="David" w:hAnsi="David" w:cs="David"/>
          <w:sz w:val="26"/>
          <w:szCs w:val="26"/>
          <w:rtl/>
        </w:rPr>
        <w:t xml:space="preserve">) </w:t>
      </w:r>
      <w:r w:rsidRPr="0026023A">
        <w:rPr>
          <w:rFonts w:ascii="David" w:hAnsi="David" w:cs="David"/>
          <w:sz w:val="26"/>
          <w:szCs w:val="26"/>
          <w:rtl/>
          <w:lang w:bidi="he-IL"/>
        </w:rPr>
        <w:t>במסגרת ע</w:t>
      </w:r>
      <w:r w:rsidRPr="0026023A">
        <w:rPr>
          <w:rFonts w:ascii="David" w:hAnsi="David" w:cs="David"/>
          <w:sz w:val="26"/>
          <w:szCs w:val="26"/>
          <w:rtl/>
        </w:rPr>
        <w:t>"</w:t>
      </w:r>
      <w:r w:rsidRPr="0026023A">
        <w:rPr>
          <w:rFonts w:ascii="David" w:hAnsi="David" w:cs="David"/>
          <w:sz w:val="26"/>
          <w:szCs w:val="26"/>
          <w:rtl/>
          <w:lang w:bidi="he-IL"/>
        </w:rPr>
        <w:t xml:space="preserve">א </w:t>
      </w:r>
      <w:r w:rsidR="00D52EA9">
        <w:rPr>
          <w:rFonts w:ascii="David" w:hAnsi="David" w:cs="David" w:hint="cs"/>
          <w:sz w:val="26"/>
          <w:szCs w:val="26"/>
          <w:rtl/>
          <w:lang w:bidi="he-IL"/>
        </w:rPr>
        <w:t xml:space="preserve">11141/08 </w:t>
      </w:r>
      <w:r w:rsidRPr="0026023A">
        <w:rPr>
          <w:rFonts w:ascii="David" w:hAnsi="David" w:cs="David"/>
          <w:b/>
          <w:bCs/>
          <w:sz w:val="26"/>
          <w:szCs w:val="26"/>
          <w:rtl/>
          <w:lang w:bidi="he-IL"/>
        </w:rPr>
        <w:t>יונה נ</w:t>
      </w:r>
      <w:r w:rsidRPr="0026023A">
        <w:rPr>
          <w:rFonts w:ascii="David" w:hAnsi="David" w:cs="David"/>
          <w:b/>
          <w:bCs/>
          <w:sz w:val="26"/>
          <w:szCs w:val="26"/>
          <w:rtl/>
        </w:rPr>
        <w:t xml:space="preserve">' </w:t>
      </w:r>
      <w:r w:rsidRPr="0026023A">
        <w:rPr>
          <w:rFonts w:ascii="David" w:hAnsi="David" w:cs="David"/>
          <w:b/>
          <w:bCs/>
          <w:sz w:val="26"/>
          <w:szCs w:val="26"/>
          <w:rtl/>
          <w:lang w:bidi="he-IL"/>
        </w:rPr>
        <w:t>מדינת ישראל</w:t>
      </w:r>
      <w:r>
        <w:rPr>
          <w:rFonts w:ascii="David" w:hAnsi="David" w:cs="David"/>
          <w:sz w:val="26"/>
          <w:szCs w:val="26"/>
          <w:rtl/>
        </w:rPr>
        <w:t xml:space="preserve"> (17.7.2011)</w:t>
      </w:r>
      <w:r w:rsidRPr="0026023A">
        <w:rPr>
          <w:rFonts w:ascii="David" w:hAnsi="David" w:cs="David"/>
          <w:sz w:val="26"/>
          <w:szCs w:val="26"/>
          <w:rtl/>
        </w:rPr>
        <w:t xml:space="preserve">. </w:t>
      </w:r>
    </w:p>
    <w:p w:rsidR="00D57E56" w:rsidRDefault="00D57E56" w:rsidP="00D57E56">
      <w:pPr>
        <w:pStyle w:val="a7"/>
        <w:bidi/>
        <w:spacing w:after="360" w:line="360" w:lineRule="auto"/>
        <w:ind w:left="509"/>
        <w:jc w:val="both"/>
        <w:rPr>
          <w:rFonts w:ascii="David" w:hAnsi="David" w:cs="David"/>
          <w:sz w:val="26"/>
          <w:szCs w:val="26"/>
          <w:rtl/>
          <w:lang w:bidi="he-IL"/>
        </w:rPr>
      </w:pPr>
      <w:r>
        <w:rPr>
          <w:rFonts w:ascii="David" w:hAnsi="David" w:cs="David" w:hint="cs"/>
          <w:sz w:val="26"/>
          <w:szCs w:val="26"/>
          <w:rtl/>
          <w:lang w:bidi="he-IL"/>
        </w:rPr>
        <w:t xml:space="preserve">בית המשפט בתיק הפירוק של חברות מקבוצת חפציבה קבע בשנת 2010 כי יש לחייב את בועז יונה בתשלום חובות קבוצת חפציבה בהתאם להוראות פקודת החברות וזאת על בסיס הרשעתו בהליך הפלילי. </w:t>
      </w:r>
    </w:p>
    <w:p w:rsidR="0026023A" w:rsidRDefault="0026023A" w:rsidP="00D57E56">
      <w:pPr>
        <w:pStyle w:val="a7"/>
        <w:bidi/>
        <w:spacing w:after="360" w:line="360" w:lineRule="auto"/>
        <w:ind w:left="509"/>
        <w:jc w:val="both"/>
        <w:rPr>
          <w:rFonts w:ascii="David" w:hAnsi="David" w:cs="David"/>
          <w:sz w:val="26"/>
          <w:szCs w:val="26"/>
        </w:rPr>
      </w:pPr>
      <w:r>
        <w:rPr>
          <w:rFonts w:ascii="David" w:hAnsi="David" w:cs="David" w:hint="cs"/>
          <w:sz w:val="26"/>
          <w:szCs w:val="26"/>
          <w:rtl/>
          <w:lang w:bidi="he-IL"/>
        </w:rPr>
        <w:t xml:space="preserve">במסגרת הבקשה למתן הפטר ביקש החייב לפטור אותו מכל חובותיו, לרבות אלה </w:t>
      </w:r>
      <w:r w:rsidR="00D52EA9">
        <w:rPr>
          <w:rFonts w:ascii="David" w:hAnsi="David" w:cs="David" w:hint="cs"/>
          <w:sz w:val="26"/>
          <w:szCs w:val="26"/>
          <w:rtl/>
          <w:lang w:bidi="he-IL"/>
        </w:rPr>
        <w:t xml:space="preserve">של קבוצת חברות חפציבה, </w:t>
      </w:r>
      <w:r>
        <w:rPr>
          <w:rFonts w:ascii="David" w:hAnsi="David" w:cs="David" w:hint="cs"/>
          <w:sz w:val="26"/>
          <w:szCs w:val="26"/>
          <w:rtl/>
          <w:lang w:bidi="he-IL"/>
        </w:rPr>
        <w:t xml:space="preserve">שנקבע לגביהם כי נוצרו בתרמית </w:t>
      </w:r>
      <w:r w:rsidRPr="00461072">
        <w:rPr>
          <w:rFonts w:ascii="David" w:hAnsi="David" w:cs="David" w:hint="cs"/>
          <w:sz w:val="26"/>
          <w:szCs w:val="26"/>
          <w:rtl/>
          <w:lang w:bidi="he-IL"/>
        </w:rPr>
        <w:t>(</w:t>
      </w:r>
      <w:r>
        <w:rPr>
          <w:rFonts w:ascii="David" w:hAnsi="David" w:cs="David" w:hint="cs"/>
          <w:sz w:val="26"/>
          <w:szCs w:val="26"/>
          <w:rtl/>
          <w:lang w:bidi="he-IL"/>
        </w:rPr>
        <w:t xml:space="preserve">ראו בקשר לכך </w:t>
      </w:r>
      <w:r w:rsidRPr="00461072">
        <w:rPr>
          <w:rFonts w:ascii="David" w:hAnsi="David" w:cs="David" w:hint="cs"/>
          <w:sz w:val="26"/>
          <w:szCs w:val="26"/>
          <w:rtl/>
          <w:lang w:bidi="he-IL"/>
        </w:rPr>
        <w:t xml:space="preserve">ע"ר (י-ם) 313/10 </w:t>
      </w:r>
      <w:r w:rsidRPr="00461072">
        <w:rPr>
          <w:rFonts w:ascii="David" w:hAnsi="David" w:cs="David" w:hint="cs"/>
          <w:bCs/>
          <w:sz w:val="26"/>
          <w:szCs w:val="26"/>
          <w:rtl/>
          <w:lang w:bidi="he-IL"/>
        </w:rPr>
        <w:t>בועז יונה נ' הכונס הנכסים הרשמי</w:t>
      </w:r>
      <w:r w:rsidRPr="00461072">
        <w:rPr>
          <w:rFonts w:ascii="David" w:hAnsi="David" w:cs="David" w:hint="cs"/>
          <w:sz w:val="26"/>
          <w:szCs w:val="26"/>
          <w:rtl/>
          <w:lang w:bidi="he-IL"/>
        </w:rPr>
        <w:t xml:space="preserve"> (1.12.10)</w:t>
      </w:r>
      <w:r>
        <w:rPr>
          <w:rFonts w:ascii="David" w:hAnsi="David" w:cs="David" w:hint="cs"/>
          <w:sz w:val="26"/>
          <w:szCs w:val="26"/>
          <w:rtl/>
          <w:lang w:bidi="he-IL"/>
        </w:rPr>
        <w:t>).</w:t>
      </w:r>
    </w:p>
    <w:p w:rsidR="0026023A" w:rsidRDefault="0026023A" w:rsidP="00D57E56">
      <w:pPr>
        <w:pStyle w:val="a7"/>
        <w:bidi/>
        <w:spacing w:after="360" w:line="360" w:lineRule="auto"/>
        <w:ind w:left="509"/>
        <w:jc w:val="both"/>
        <w:rPr>
          <w:rFonts w:ascii="David" w:hAnsi="David" w:cs="David"/>
          <w:sz w:val="26"/>
          <w:szCs w:val="26"/>
        </w:rPr>
      </w:pPr>
      <w:r>
        <w:rPr>
          <w:rFonts w:ascii="David" w:hAnsi="David" w:cs="David" w:hint="cs"/>
          <w:sz w:val="26"/>
          <w:szCs w:val="26"/>
          <w:rtl/>
          <w:lang w:bidi="he-IL"/>
        </w:rPr>
        <w:t>בעקבות הגשת הבקשה ובמסגרת תסקיר הכונס בקשר אליה, נפתחה חקירה סמויה שארכה כ-5 שנים אשר במהלכה הוגשו מספר רב של דוחות חסויים ובקשות לדחיית מועד הדיון בבקשה.</w:t>
      </w:r>
    </w:p>
    <w:p w:rsidR="0026023A" w:rsidRDefault="0026023A" w:rsidP="00D57E56">
      <w:pPr>
        <w:pStyle w:val="a7"/>
        <w:bidi/>
        <w:spacing w:after="360" w:line="360" w:lineRule="auto"/>
        <w:ind w:left="509"/>
        <w:jc w:val="both"/>
        <w:rPr>
          <w:rFonts w:ascii="David" w:hAnsi="David" w:cs="David"/>
          <w:sz w:val="26"/>
          <w:szCs w:val="26"/>
        </w:rPr>
      </w:pPr>
      <w:r>
        <w:rPr>
          <w:rFonts w:ascii="David" w:hAnsi="David" w:cs="David" w:hint="cs"/>
          <w:sz w:val="26"/>
          <w:szCs w:val="26"/>
          <w:rtl/>
          <w:lang w:bidi="he-IL"/>
        </w:rPr>
        <w:t xml:space="preserve">בהמשך להפיכת החקירה לגלויה (בחודש מרץ 2022) התקיים דיון בבקשה בעקבות מכלול התפתחות העניינים. במסגרת הדיון עלה כי קיים חשד שהחייב התנהל בניגוד לחוק במסגרת היותו פושט רגל מה שהביא לחקירה רחבת ידיים. עוד עלה במסגרת זו כי ב"כ הכנ"ר ביקש לדחות את הדיון בבקשה עד לאחר התגבשותו של כתב אישום, וככל שיהיה בכך צורך גם עד לאחר מתן פסק דין חלוט בעניינו של החייב. </w:t>
      </w:r>
    </w:p>
    <w:p w:rsidR="0026023A" w:rsidRDefault="0026023A" w:rsidP="00D57E56">
      <w:pPr>
        <w:pStyle w:val="a7"/>
        <w:bidi/>
        <w:spacing w:after="360" w:line="360" w:lineRule="auto"/>
        <w:ind w:left="509"/>
        <w:jc w:val="both"/>
        <w:rPr>
          <w:rFonts w:ascii="David" w:hAnsi="David" w:cs="David"/>
          <w:sz w:val="26"/>
          <w:szCs w:val="26"/>
        </w:rPr>
      </w:pPr>
      <w:r>
        <w:rPr>
          <w:rFonts w:ascii="David" w:hAnsi="David" w:cs="David" w:hint="cs"/>
          <w:sz w:val="26"/>
          <w:szCs w:val="26"/>
          <w:rtl/>
          <w:lang w:bidi="he-IL"/>
        </w:rPr>
        <w:t>בעקבות האמור בית המשפט החליט כדלהלן:</w:t>
      </w:r>
    </w:p>
    <w:p w:rsidR="0026023A" w:rsidRDefault="0026023A" w:rsidP="0026023A">
      <w:pPr>
        <w:pStyle w:val="a7"/>
        <w:numPr>
          <w:ilvl w:val="0"/>
          <w:numId w:val="2"/>
        </w:numPr>
        <w:bidi/>
        <w:spacing w:after="360" w:line="360" w:lineRule="auto"/>
        <w:jc w:val="both"/>
        <w:rPr>
          <w:rFonts w:ascii="David" w:hAnsi="David" w:cs="David"/>
          <w:sz w:val="26"/>
          <w:szCs w:val="26"/>
        </w:rPr>
      </w:pPr>
      <w:r>
        <w:rPr>
          <w:rFonts w:ascii="David" w:hAnsi="David" w:cs="David" w:hint="cs"/>
          <w:sz w:val="26"/>
          <w:szCs w:val="26"/>
          <w:rtl/>
          <w:lang w:bidi="he-IL"/>
        </w:rPr>
        <w:t>לא ניתן להכליל במסגרת בקשת ההפטר את החובות שנקבע לגביהם שנוצרו בתרמית.</w:t>
      </w:r>
    </w:p>
    <w:p w:rsidR="00D57E56" w:rsidRDefault="00D57E56" w:rsidP="00377B9C">
      <w:pPr>
        <w:pStyle w:val="a7"/>
        <w:numPr>
          <w:ilvl w:val="0"/>
          <w:numId w:val="2"/>
        </w:numPr>
        <w:bidi/>
        <w:spacing w:after="360" w:line="360" w:lineRule="auto"/>
        <w:jc w:val="both"/>
        <w:rPr>
          <w:rFonts w:ascii="David" w:hAnsi="David" w:cs="David"/>
          <w:sz w:val="26"/>
          <w:szCs w:val="26"/>
        </w:rPr>
      </w:pPr>
      <w:r w:rsidRPr="00D57E56">
        <w:rPr>
          <w:rFonts w:ascii="David" w:hAnsi="David" w:cs="David" w:hint="cs"/>
          <w:sz w:val="26"/>
          <w:szCs w:val="26"/>
          <w:rtl/>
          <w:lang w:bidi="he-IL"/>
        </w:rPr>
        <w:t xml:space="preserve">הכנ"ר יגיש הודעה מעדכנת בנוגע לחקירה הפלילית ותוצאותיה </w:t>
      </w:r>
      <w:r w:rsidR="0026023A" w:rsidRPr="00D57E56">
        <w:rPr>
          <w:rFonts w:ascii="David" w:hAnsi="David" w:cs="David" w:hint="cs"/>
          <w:sz w:val="26"/>
          <w:szCs w:val="26"/>
          <w:rtl/>
          <w:lang w:bidi="he-IL"/>
        </w:rPr>
        <w:t>עד ליום 1.1.23</w:t>
      </w:r>
      <w:r w:rsidRPr="00D57E56">
        <w:rPr>
          <w:rFonts w:ascii="David" w:hAnsi="David" w:cs="David" w:hint="cs"/>
          <w:sz w:val="26"/>
          <w:szCs w:val="26"/>
          <w:rtl/>
          <w:lang w:bidi="he-IL"/>
        </w:rPr>
        <w:t>.</w:t>
      </w:r>
      <w:r w:rsidR="0026023A" w:rsidRPr="00D57E56">
        <w:rPr>
          <w:rFonts w:ascii="David" w:hAnsi="David" w:cs="David" w:hint="cs"/>
          <w:sz w:val="26"/>
          <w:szCs w:val="26"/>
          <w:rtl/>
          <w:lang w:bidi="he-IL"/>
        </w:rPr>
        <w:t xml:space="preserve"> </w:t>
      </w:r>
    </w:p>
    <w:p w:rsidR="0026023A" w:rsidRPr="00D57E56" w:rsidRDefault="0026023A" w:rsidP="00D57E56">
      <w:pPr>
        <w:pStyle w:val="a7"/>
        <w:numPr>
          <w:ilvl w:val="0"/>
          <w:numId w:val="2"/>
        </w:numPr>
        <w:bidi/>
        <w:spacing w:after="360" w:line="360" w:lineRule="auto"/>
        <w:jc w:val="both"/>
        <w:rPr>
          <w:rFonts w:ascii="David" w:hAnsi="David" w:cs="David"/>
          <w:sz w:val="26"/>
          <w:szCs w:val="26"/>
        </w:rPr>
      </w:pPr>
      <w:r w:rsidRPr="00D57E56">
        <w:rPr>
          <w:rFonts w:ascii="David" w:hAnsi="David" w:cs="David" w:hint="cs"/>
          <w:sz w:val="26"/>
          <w:szCs w:val="26"/>
          <w:rtl/>
          <w:lang w:bidi="he-IL"/>
        </w:rPr>
        <w:t xml:space="preserve">לאחר החלטת גורמי אכיפת החוק בעניינו של החייב, יוכל החייב, אם ימצא לנכון </w:t>
      </w:r>
      <w:r w:rsidR="00D57E56">
        <w:rPr>
          <w:rFonts w:ascii="David" w:hAnsi="David" w:cs="David" w:hint="cs"/>
          <w:sz w:val="26"/>
          <w:szCs w:val="26"/>
          <w:rtl/>
          <w:lang w:bidi="he-IL"/>
        </w:rPr>
        <w:t>לחדש</w:t>
      </w:r>
      <w:r w:rsidRPr="00D57E56">
        <w:rPr>
          <w:rFonts w:ascii="David" w:hAnsi="David" w:cs="David" w:hint="cs"/>
          <w:sz w:val="26"/>
          <w:szCs w:val="26"/>
          <w:rtl/>
          <w:lang w:bidi="he-IL"/>
        </w:rPr>
        <w:t xml:space="preserve"> את בקשת ההפטר</w:t>
      </w:r>
      <w:r w:rsidR="00D57E56">
        <w:rPr>
          <w:rFonts w:ascii="David" w:hAnsi="David" w:cs="David" w:hint="cs"/>
          <w:sz w:val="26"/>
          <w:szCs w:val="26"/>
          <w:rtl/>
          <w:lang w:bidi="he-IL"/>
        </w:rPr>
        <w:t>,</w:t>
      </w:r>
      <w:r w:rsidRPr="00D57E56">
        <w:rPr>
          <w:rFonts w:ascii="David" w:hAnsi="David" w:cs="David" w:hint="cs"/>
          <w:sz w:val="26"/>
          <w:szCs w:val="26"/>
          <w:rtl/>
          <w:lang w:bidi="he-IL"/>
        </w:rPr>
        <w:t xml:space="preserve"> כאשר במסגרתה ניתן יהיה לדון רק בחובותיו שנוצרו שלא בתרמית.</w:t>
      </w:r>
    </w:p>
    <w:p w:rsidR="00D52EA9" w:rsidRDefault="00D52EA9" w:rsidP="00D57E56">
      <w:pPr>
        <w:pStyle w:val="a7"/>
        <w:bidi/>
        <w:spacing w:after="360" w:line="360" w:lineRule="auto"/>
        <w:ind w:left="509"/>
        <w:jc w:val="both"/>
        <w:rPr>
          <w:rFonts w:ascii="David" w:hAnsi="David" w:cs="David"/>
          <w:sz w:val="26"/>
          <w:szCs w:val="26"/>
          <w:lang w:bidi="he-IL"/>
        </w:rPr>
      </w:pPr>
      <w:r>
        <w:rPr>
          <w:rFonts w:ascii="David" w:hAnsi="David" w:cs="David" w:hint="cs"/>
          <w:sz w:val="26"/>
          <w:szCs w:val="26"/>
          <w:rtl/>
          <w:lang w:bidi="he-IL"/>
        </w:rPr>
        <w:t>בית המשפט הגיע למסקנותיו בשל הנימוקים הבאים:</w:t>
      </w:r>
    </w:p>
    <w:p w:rsidR="00D52EA9" w:rsidRDefault="00D52EA9" w:rsidP="00D57E56">
      <w:pPr>
        <w:pStyle w:val="a7"/>
        <w:numPr>
          <w:ilvl w:val="0"/>
          <w:numId w:val="3"/>
        </w:numPr>
        <w:bidi/>
        <w:spacing w:after="360" w:line="360" w:lineRule="auto"/>
        <w:jc w:val="both"/>
        <w:rPr>
          <w:rFonts w:ascii="David" w:hAnsi="David" w:cs="David"/>
          <w:sz w:val="26"/>
          <w:szCs w:val="26"/>
          <w:lang w:bidi="he-IL"/>
        </w:rPr>
      </w:pPr>
      <w:r>
        <w:rPr>
          <w:rFonts w:ascii="David" w:hAnsi="David" w:cs="David" w:hint="cs"/>
          <w:sz w:val="26"/>
          <w:szCs w:val="26"/>
          <w:rtl/>
          <w:lang w:bidi="he-IL"/>
        </w:rPr>
        <w:lastRenderedPageBreak/>
        <w:t>סעיף 69(א)(2) לפקודת פשיטת הרגל קובע כי לא ניתן ליתן הפטר לחובות שנוצרו בתרמית. משנקבע (בע"ר 313/10 הנ"ל) כי חובות קבוצת חפציבה כולן מיוחס</w:t>
      </w:r>
      <w:r w:rsidR="00D57E56">
        <w:rPr>
          <w:rFonts w:ascii="David" w:hAnsi="David" w:cs="David" w:hint="cs"/>
          <w:sz w:val="26"/>
          <w:szCs w:val="26"/>
          <w:rtl/>
          <w:lang w:bidi="he-IL"/>
        </w:rPr>
        <w:t>ות</w:t>
      </w:r>
      <w:r>
        <w:rPr>
          <w:rFonts w:ascii="David" w:hAnsi="David" w:cs="David" w:hint="cs"/>
          <w:sz w:val="26"/>
          <w:szCs w:val="26"/>
          <w:rtl/>
          <w:lang w:bidi="he-IL"/>
        </w:rPr>
        <w:t xml:space="preserve"> לבועז יונה (ושעומדים נכון לעכשיו על סך של כ-1.1 מיליארד שקלים), בית המשפט אינו מוסמך בהתאם לפקודה ולפסיקה בעניין זה לפטור את החייב מחובות אלה.</w:t>
      </w:r>
    </w:p>
    <w:p w:rsidR="00D52EA9" w:rsidRDefault="00D52EA9" w:rsidP="00D57E56">
      <w:pPr>
        <w:pStyle w:val="a7"/>
        <w:numPr>
          <w:ilvl w:val="0"/>
          <w:numId w:val="3"/>
        </w:numPr>
        <w:bidi/>
        <w:spacing w:after="360" w:line="360" w:lineRule="auto"/>
        <w:jc w:val="both"/>
        <w:rPr>
          <w:rFonts w:ascii="David" w:hAnsi="David" w:cs="David"/>
          <w:sz w:val="26"/>
          <w:szCs w:val="26"/>
          <w:lang w:bidi="he-IL"/>
        </w:rPr>
      </w:pPr>
      <w:r>
        <w:rPr>
          <w:rFonts w:ascii="David" w:hAnsi="David" w:cs="David" w:hint="cs"/>
          <w:sz w:val="26"/>
          <w:szCs w:val="26"/>
          <w:rtl/>
          <w:lang w:bidi="he-IL"/>
        </w:rPr>
        <w:t>החייב מצוי בהליך פשיטת רגל מזה 15 שנה. תכלית הליך פשיטת הרגל אינו בעצם קיומו. בית המשפט קבע כי אין מקום לדחות את הדיון בבקשה ללא תאריך יעד ברור (בכל הנוגע לחוב שלא נוצר בתרמית) כבקשת הכנ"ר וקבע כי דיון בבקשת ההפטר, ככל שהחייב יבקש זאת, יתקיים לאחר החלטת ג</w:t>
      </w:r>
      <w:r w:rsidR="00D57E56">
        <w:rPr>
          <w:rFonts w:ascii="David" w:hAnsi="David" w:cs="David" w:hint="cs"/>
          <w:sz w:val="26"/>
          <w:szCs w:val="26"/>
          <w:rtl/>
          <w:lang w:bidi="he-IL"/>
        </w:rPr>
        <w:t xml:space="preserve">ורמי החקירה האם להגיש כתב אישום נגד בועז יונה. ככל שיוחלט להגיש כתב אישום, יקבל החייב את חומר החקירה ויוכל להגיב להאשמות המיוחסות לו ואז ניתן יהיה לדון בבקשה למתן הפטר. נקבע כי לא יהיה צורך להמתין לסיום ההליך הפלילי, לצורך הדיון וההכרעה בבקשת ההפטר. </w:t>
      </w:r>
    </w:p>
    <w:p w:rsidR="00D52EA9" w:rsidRPr="0026023A" w:rsidRDefault="00D52EA9" w:rsidP="00887527">
      <w:pPr>
        <w:pStyle w:val="a7"/>
        <w:bidi/>
        <w:spacing w:after="360" w:line="360" w:lineRule="auto"/>
        <w:ind w:left="869"/>
        <w:jc w:val="both"/>
        <w:rPr>
          <w:rFonts w:ascii="David" w:hAnsi="David" w:cs="David"/>
          <w:sz w:val="26"/>
          <w:szCs w:val="26"/>
          <w:lang w:bidi="he-IL"/>
        </w:rPr>
      </w:pPr>
    </w:p>
    <w:p w:rsidR="0026023A" w:rsidRPr="0026023A" w:rsidRDefault="0026023A" w:rsidP="0026023A">
      <w:pPr>
        <w:rPr>
          <w:rFonts w:ascii="David" w:hAnsi="David" w:cs="David"/>
          <w:b/>
          <w:bCs/>
          <w:sz w:val="26"/>
          <w:szCs w:val="26"/>
        </w:rPr>
      </w:pPr>
    </w:p>
    <w:sectPr w:rsidR="0026023A" w:rsidRPr="0026023A" w:rsidSect="0025076A">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9F2" w:rsidRDefault="00AB29F2" w:rsidP="003C1D6F">
      <w:pPr>
        <w:spacing w:after="0" w:line="240" w:lineRule="auto"/>
      </w:pPr>
      <w:r>
        <w:separator/>
      </w:r>
    </w:p>
  </w:endnote>
  <w:endnote w:type="continuationSeparator" w:id="0">
    <w:p w:rsidR="00AB29F2" w:rsidRDefault="00AB29F2" w:rsidP="003C1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9F2" w:rsidRDefault="00AB29F2" w:rsidP="003C1D6F">
      <w:pPr>
        <w:spacing w:after="0" w:line="240" w:lineRule="auto"/>
      </w:pPr>
      <w:r>
        <w:separator/>
      </w:r>
    </w:p>
  </w:footnote>
  <w:footnote w:type="continuationSeparator" w:id="0">
    <w:p w:rsidR="00AB29F2" w:rsidRDefault="00AB29F2" w:rsidP="003C1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D6F" w:rsidRPr="00A517A3" w:rsidRDefault="003C1D6F" w:rsidP="003C1D6F">
    <w:pPr>
      <w:pStyle w:val="a3"/>
      <w:jc w:val="center"/>
      <w:rPr>
        <w:rFonts w:ascii="David" w:hAnsi="David"/>
        <w:sz w:val="32"/>
        <w:szCs w:val="32"/>
      </w:rPr>
    </w:pPr>
    <w:r w:rsidRPr="00A517A3">
      <w:rPr>
        <w:rFonts w:ascii="David" w:hAnsi="David"/>
        <w:noProof/>
        <w:sz w:val="32"/>
        <w:szCs w:val="32"/>
      </w:rPr>
      <w:drawing>
        <wp:inline distT="0" distB="0" distL="0" distR="0" wp14:anchorId="77BD52FE" wp14:editId="3525E26B">
          <wp:extent cx="368300" cy="464185"/>
          <wp:effectExtent l="0" t="0" r="0" b="0"/>
          <wp:docPr id="8" name="תמונה 8"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1"/>
      <w:gridCol w:w="3495"/>
    </w:tblGrid>
    <w:tr w:rsidR="003C1D6F" w:rsidRPr="00A517A3" w:rsidTr="0044563A">
      <w:trPr>
        <w:trHeight w:val="418"/>
        <w:jc w:val="center"/>
      </w:trPr>
      <w:tc>
        <w:tcPr>
          <w:tcW w:w="8721" w:type="dxa"/>
          <w:gridSpan w:val="2"/>
          <w:hideMark/>
        </w:tcPr>
        <w:p w:rsidR="003C1D6F" w:rsidRPr="00A517A3" w:rsidRDefault="003C1D6F" w:rsidP="003C1D6F">
          <w:pPr>
            <w:pStyle w:val="a3"/>
            <w:jc w:val="center"/>
            <w:rPr>
              <w:rFonts w:ascii="David" w:hAnsi="David"/>
              <w:color w:val="000080"/>
              <w:sz w:val="32"/>
              <w:szCs w:val="32"/>
              <w:rtl/>
            </w:rPr>
          </w:pPr>
          <w:r w:rsidRPr="00A517A3">
            <w:rPr>
              <w:rFonts w:ascii="David" w:hAnsi="David"/>
              <w:b/>
              <w:bCs/>
              <w:color w:val="000080"/>
              <w:sz w:val="32"/>
              <w:szCs w:val="32"/>
              <w:rtl/>
            </w:rPr>
            <w:t>בית המשפט המחוזי בירושלים</w:t>
          </w:r>
        </w:p>
        <w:p w:rsidR="003C1D6F" w:rsidRPr="00A517A3" w:rsidRDefault="003C1D6F" w:rsidP="003C1D6F">
          <w:pPr>
            <w:pStyle w:val="a3"/>
            <w:jc w:val="center"/>
            <w:rPr>
              <w:rFonts w:ascii="David" w:hAnsi="David"/>
              <w:bCs/>
              <w:color w:val="000080"/>
              <w:sz w:val="32"/>
              <w:szCs w:val="32"/>
              <w:rtl/>
            </w:rPr>
          </w:pPr>
          <w:r w:rsidRPr="00A517A3">
            <w:rPr>
              <w:rFonts w:ascii="David" w:hAnsi="David" w:hint="cs"/>
              <w:bCs/>
              <w:color w:val="000080"/>
              <w:sz w:val="32"/>
              <w:szCs w:val="32"/>
              <w:rtl/>
            </w:rPr>
            <w:t>לפני כב' השופט אביגדור דורות</w:t>
          </w:r>
        </w:p>
      </w:tc>
    </w:tr>
    <w:tr w:rsidR="003C1D6F" w:rsidRPr="00A517A3" w:rsidTr="0044563A">
      <w:trPr>
        <w:trHeight w:val="337"/>
        <w:jc w:val="center"/>
      </w:trPr>
      <w:tc>
        <w:tcPr>
          <w:tcW w:w="5047" w:type="dxa"/>
        </w:tcPr>
        <w:p w:rsidR="003C1D6F" w:rsidRPr="00A517A3" w:rsidRDefault="003C1D6F" w:rsidP="003C1D6F">
          <w:pPr>
            <w:rPr>
              <w:rFonts w:ascii="David" w:hAnsi="David"/>
              <w:b/>
              <w:bCs/>
              <w:sz w:val="26"/>
              <w:szCs w:val="26"/>
              <w:rtl/>
            </w:rPr>
          </w:pPr>
        </w:p>
      </w:tc>
      <w:tc>
        <w:tcPr>
          <w:tcW w:w="3674" w:type="dxa"/>
        </w:tcPr>
        <w:p w:rsidR="003C1D6F" w:rsidRPr="00A517A3" w:rsidRDefault="003C1D6F" w:rsidP="003C1D6F">
          <w:pPr>
            <w:pStyle w:val="a3"/>
            <w:jc w:val="right"/>
            <w:rPr>
              <w:rFonts w:ascii="David" w:hAnsi="David"/>
              <w:b/>
              <w:bCs/>
              <w:sz w:val="26"/>
              <w:szCs w:val="26"/>
              <w:rtl/>
            </w:rPr>
          </w:pPr>
        </w:p>
      </w:tc>
    </w:tr>
  </w:tbl>
  <w:p w:rsidR="003C1D6F" w:rsidRPr="003C1D6F" w:rsidRDefault="003C1D6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E096B"/>
    <w:multiLevelType w:val="hybridMultilevel"/>
    <w:tmpl w:val="6150B970"/>
    <w:lvl w:ilvl="0" w:tplc="7EEED34A">
      <w:start w:val="1"/>
      <w:numFmt w:val="hebrew1"/>
      <w:lvlText w:val="%1."/>
      <w:lvlJc w:val="left"/>
      <w:pPr>
        <w:ind w:left="869" w:hanging="36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 w15:restartNumberingAfterBreak="0">
    <w:nsid w:val="4DCA77DE"/>
    <w:multiLevelType w:val="hybridMultilevel"/>
    <w:tmpl w:val="831AEC96"/>
    <w:lvl w:ilvl="0" w:tplc="E744C3C2">
      <w:start w:val="1"/>
      <w:numFmt w:val="hebrew1"/>
      <w:lvlText w:val="%1."/>
      <w:lvlJc w:val="left"/>
      <w:pPr>
        <w:ind w:left="869" w:hanging="36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 w15:restartNumberingAfterBreak="0">
    <w:nsid w:val="4EF97BCC"/>
    <w:multiLevelType w:val="hybridMultilevel"/>
    <w:tmpl w:val="CC686662"/>
    <w:lvl w:ilvl="0" w:tplc="3F761BC6">
      <w:start w:val="1"/>
      <w:numFmt w:val="decimal"/>
      <w:lvlText w:val="%1."/>
      <w:lvlJc w:val="left"/>
      <w:pPr>
        <w:ind w:left="1080" w:hanging="72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D6F"/>
    <w:rsid w:val="0025076A"/>
    <w:rsid w:val="0026023A"/>
    <w:rsid w:val="002709E9"/>
    <w:rsid w:val="003C1D6F"/>
    <w:rsid w:val="007B1F67"/>
    <w:rsid w:val="00823013"/>
    <w:rsid w:val="00887527"/>
    <w:rsid w:val="009E3B5B"/>
    <w:rsid w:val="00AB29F2"/>
    <w:rsid w:val="00D52EA9"/>
    <w:rsid w:val="00D57E5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83E71-6D06-430F-9F88-3A1DBD02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D6F"/>
    <w:pPr>
      <w:tabs>
        <w:tab w:val="center" w:pos="4153"/>
        <w:tab w:val="right" w:pos="8306"/>
      </w:tabs>
      <w:spacing w:after="0" w:line="240" w:lineRule="auto"/>
    </w:pPr>
  </w:style>
  <w:style w:type="character" w:customStyle="1" w:styleId="a4">
    <w:name w:val="כותרת עליונה תו"/>
    <w:basedOn w:val="a0"/>
    <w:link w:val="a3"/>
    <w:uiPriority w:val="99"/>
    <w:rsid w:val="003C1D6F"/>
  </w:style>
  <w:style w:type="paragraph" w:styleId="a5">
    <w:name w:val="footer"/>
    <w:basedOn w:val="a"/>
    <w:link w:val="a6"/>
    <w:uiPriority w:val="99"/>
    <w:unhideWhenUsed/>
    <w:rsid w:val="003C1D6F"/>
    <w:pPr>
      <w:tabs>
        <w:tab w:val="center" w:pos="4153"/>
        <w:tab w:val="right" w:pos="8306"/>
      </w:tabs>
      <w:spacing w:after="0" w:line="240" w:lineRule="auto"/>
    </w:pPr>
  </w:style>
  <w:style w:type="character" w:customStyle="1" w:styleId="a6">
    <w:name w:val="כותרת תחתונה תו"/>
    <w:basedOn w:val="a0"/>
    <w:link w:val="a5"/>
    <w:uiPriority w:val="99"/>
    <w:rsid w:val="003C1D6F"/>
  </w:style>
  <w:style w:type="paragraph" w:styleId="a7">
    <w:name w:val="List Paragraph"/>
    <w:basedOn w:val="a"/>
    <w:uiPriority w:val="34"/>
    <w:qFormat/>
    <w:rsid w:val="0026023A"/>
    <w:pPr>
      <w:bidi w:val="0"/>
      <w:spacing w:line="254" w:lineRule="auto"/>
      <w:ind w:left="720"/>
      <w:contextualSpacing/>
    </w:pPr>
    <w:rPr>
      <w:rFonts w:eastAsia="Times New Roman"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64F3-CA95-4323-A6D5-5C2FEED5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Words>
  <Characters>2124</Characters>
  <Application>Microsoft Office Word</Application>
  <DocSecurity>4</DocSecurity>
  <Lines>17</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קם</dc:creator>
  <cp:keywords/>
  <dc:description/>
  <cp:lastModifiedBy>גרמאו מנגיסטו</cp:lastModifiedBy>
  <cp:revision>2</cp:revision>
  <dcterms:created xsi:type="dcterms:W3CDTF">2022-08-04T15:38:00Z</dcterms:created>
  <dcterms:modified xsi:type="dcterms:W3CDTF">2022-08-04T15:38:00Z</dcterms:modified>
</cp:coreProperties>
</file>